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342" w:rsidRPr="00D139D4" w:rsidRDefault="00523342" w:rsidP="00523342">
      <w:pPr>
        <w:autoSpaceDE w:val="0"/>
        <w:autoSpaceDN w:val="0"/>
        <w:adjustRightInd w:val="0"/>
        <w:rPr>
          <w:rFonts w:ascii="Arial" w:hAnsi="Arial" w:cs="Arial"/>
          <w:sz w:val="32"/>
          <w:szCs w:val="32"/>
        </w:rPr>
      </w:pPr>
      <w:r w:rsidRPr="00D139D4">
        <w:rPr>
          <w:rFonts w:ascii="Arial" w:hAnsi="Arial" w:cs="Arial"/>
          <w:b/>
          <w:sz w:val="32"/>
          <w:szCs w:val="32"/>
          <w:u w:val="single"/>
        </w:rPr>
        <w:t>Demonstrations-Versuch: Neutralisation von Kupferoxid („Kupferbase“) und Schwefelsäure</w:t>
      </w:r>
    </w:p>
    <w:p w:rsidR="00523342" w:rsidRDefault="00523342" w:rsidP="00523342">
      <w:pPr>
        <w:rPr>
          <w:rFonts w:ascii="Arial" w:hAnsi="Arial" w:cs="Arial"/>
          <w:b/>
          <w:u w:val="single"/>
        </w:rPr>
      </w:pPr>
    </w:p>
    <w:p w:rsidR="00523342" w:rsidRDefault="00523342" w:rsidP="00523342">
      <w:pPr>
        <w:rPr>
          <w:rFonts w:ascii="Arial" w:hAnsi="Arial" w:cs="Arial"/>
        </w:rPr>
      </w:pPr>
      <w:r>
        <w:rPr>
          <w:rFonts w:ascii="Arial" w:hAnsi="Arial" w:cs="Arial"/>
        </w:rPr>
        <w:t>- 160 ml Wasser in Messzylinder geben</w:t>
      </w:r>
    </w:p>
    <w:p w:rsidR="00523342" w:rsidRPr="00803E4C" w:rsidRDefault="00523342" w:rsidP="00523342">
      <w:pPr>
        <w:rPr>
          <w:rFonts w:ascii="Arial" w:hAnsi="Arial" w:cs="Arial"/>
        </w:rPr>
      </w:pPr>
      <w:r>
        <w:rPr>
          <w:rFonts w:ascii="Arial" w:hAnsi="Arial" w:cs="Arial"/>
        </w:rPr>
        <w:t xml:space="preserve">- 40 ml </w:t>
      </w:r>
      <w:proofErr w:type="spellStart"/>
      <w:r>
        <w:rPr>
          <w:rFonts w:ascii="Arial" w:hAnsi="Arial" w:cs="Arial"/>
        </w:rPr>
        <w:t>konz</w:t>
      </w:r>
      <w:proofErr w:type="spellEnd"/>
      <w:r>
        <w:rPr>
          <w:rFonts w:ascii="Arial" w:hAnsi="Arial" w:cs="Arial"/>
        </w:rPr>
        <w:t xml:space="preserve">. Schwefelsäure vorsichtig dazu </w:t>
      </w:r>
      <w:r>
        <w:rPr>
          <w:rFonts w:ascii="Arial" w:hAnsi="Arial" w:cs="Arial"/>
          <w:b/>
        </w:rPr>
        <w:t>(Handschuhe!)</w:t>
      </w:r>
      <w:r>
        <w:rPr>
          <w:rFonts w:ascii="Arial" w:hAnsi="Arial" w:cs="Arial"/>
        </w:rPr>
        <w:t>, mit Glasstab verrühren</w:t>
      </w:r>
    </w:p>
    <w:p w:rsidR="00523342" w:rsidRDefault="00523342" w:rsidP="00523342">
      <w:pPr>
        <w:rPr>
          <w:rFonts w:ascii="Arial" w:hAnsi="Arial" w:cs="Arial"/>
        </w:rPr>
      </w:pPr>
      <w:r>
        <w:rPr>
          <w:rFonts w:ascii="Arial" w:hAnsi="Arial" w:cs="Arial"/>
        </w:rPr>
        <w:t>- dann die verdünnte Schwefelsäure in Becherglas geben und etwas abkühlen lassen</w:t>
      </w:r>
    </w:p>
    <w:p w:rsidR="00523342" w:rsidRDefault="00523342" w:rsidP="00523342">
      <w:pPr>
        <w:rPr>
          <w:rFonts w:ascii="Arial" w:hAnsi="Arial" w:cs="Arial"/>
        </w:rPr>
      </w:pPr>
      <w:r>
        <w:rPr>
          <w:rFonts w:ascii="Arial" w:hAnsi="Arial" w:cs="Arial"/>
        </w:rPr>
        <w:t>- 30 g Kupferoxid in 400 ml Becherglas geben</w:t>
      </w:r>
    </w:p>
    <w:p w:rsidR="00523342" w:rsidRDefault="00523342" w:rsidP="00523342">
      <w:pPr>
        <w:rPr>
          <w:rFonts w:ascii="Arial" w:hAnsi="Arial" w:cs="Arial"/>
        </w:rPr>
      </w:pPr>
      <w:r>
        <w:rPr>
          <w:rFonts w:ascii="Arial" w:hAnsi="Arial" w:cs="Arial"/>
        </w:rPr>
        <w:t>- Schwefelsäure dazu geben, Becherglas gleich danach mit Uhrglas abdecken</w:t>
      </w:r>
    </w:p>
    <w:p w:rsidR="00523342" w:rsidRDefault="00523342" w:rsidP="00523342">
      <w:pPr>
        <w:rPr>
          <w:rFonts w:ascii="Arial" w:hAnsi="Arial" w:cs="Arial"/>
        </w:rPr>
      </w:pPr>
      <w:r>
        <w:rPr>
          <w:rFonts w:ascii="Arial" w:hAnsi="Arial" w:cs="Arial"/>
        </w:rPr>
        <w:t>- Sollte die Reaktion in der nächsten Minute nicht zustande kommen, so kann man das Becherglas von unten ganz vorsichtig erhitzen (Sobald Reaktion beginnt, von der Flamme wegnehmen)</w:t>
      </w:r>
    </w:p>
    <w:p w:rsidR="00523342" w:rsidRDefault="00523342" w:rsidP="00523342">
      <w:pPr>
        <w:rPr>
          <w:rFonts w:ascii="Arial" w:hAnsi="Arial" w:cs="Arial"/>
          <w:u w:val="single"/>
        </w:rPr>
      </w:pPr>
      <w:proofErr w:type="gramStart"/>
      <w:r>
        <w:rPr>
          <w:rFonts w:ascii="Arial" w:hAnsi="Arial" w:cs="Arial"/>
          <w:u w:val="single"/>
        </w:rPr>
        <w:t>Beobachtung:_</w:t>
      </w:r>
      <w:proofErr w:type="gramEnd"/>
      <w:r>
        <w:rPr>
          <w:rFonts w:ascii="Arial" w:hAnsi="Arial" w:cs="Arial"/>
          <w:u w:val="single"/>
        </w:rPr>
        <w:t>__________________________________</w:t>
      </w:r>
    </w:p>
    <w:p w:rsidR="00523342" w:rsidRDefault="00523342" w:rsidP="00523342">
      <w:pPr>
        <w:rPr>
          <w:rFonts w:ascii="Arial" w:hAnsi="Arial" w:cs="Arial"/>
          <w:u w:val="single"/>
        </w:rPr>
      </w:pPr>
    </w:p>
    <w:p w:rsidR="00523342" w:rsidRDefault="00523342" w:rsidP="00523342">
      <w:pPr>
        <w:rPr>
          <w:rFonts w:ascii="Arial" w:hAnsi="Arial" w:cs="Arial"/>
          <w:u w:val="single"/>
        </w:rPr>
      </w:pPr>
    </w:p>
    <w:p w:rsidR="00523342" w:rsidRDefault="00523342" w:rsidP="00523342">
      <w:pPr>
        <w:rPr>
          <w:rFonts w:ascii="Arial" w:hAnsi="Arial" w:cs="Arial"/>
          <w:u w:val="single"/>
        </w:rPr>
      </w:pPr>
      <w:r>
        <w:rPr>
          <w:rFonts w:ascii="Arial" w:hAnsi="Arial" w:cs="Arial"/>
        </w:rPr>
        <w:t>- Glas bis zur völligen Erkaltung stehen lassen (nächster Tag)</w:t>
      </w:r>
      <w:r>
        <w:rPr>
          <w:rFonts w:ascii="Arial" w:hAnsi="Arial" w:cs="Arial"/>
        </w:rPr>
        <w:br/>
      </w:r>
      <w:r>
        <w:rPr>
          <w:rFonts w:ascii="Arial" w:hAnsi="Arial" w:cs="Arial"/>
        </w:rPr>
        <w:br/>
      </w:r>
      <w:r>
        <w:rPr>
          <w:rFonts w:ascii="Arial" w:hAnsi="Arial" w:cs="Arial"/>
          <w:u w:val="single"/>
        </w:rPr>
        <w:t>Beobachtung:___________________________________</w:t>
      </w:r>
    </w:p>
    <w:p w:rsidR="00523342" w:rsidRDefault="00523342" w:rsidP="00523342">
      <w:pPr>
        <w:rPr>
          <w:rFonts w:ascii="Arial" w:hAnsi="Arial" w:cs="Arial"/>
        </w:rPr>
      </w:pPr>
    </w:p>
    <w:p w:rsidR="00523342" w:rsidRDefault="00523342" w:rsidP="00523342">
      <w:pPr>
        <w:rPr>
          <w:rFonts w:ascii="Arial" w:hAnsi="Arial" w:cs="Arial"/>
        </w:rPr>
      </w:pPr>
    </w:p>
    <w:p w:rsidR="00523342" w:rsidRDefault="00523342" w:rsidP="00523342">
      <w:pPr>
        <w:rPr>
          <w:rFonts w:ascii="Arial" w:hAnsi="Arial" w:cs="Arial"/>
        </w:rPr>
      </w:pPr>
    </w:p>
    <w:p w:rsidR="00523342" w:rsidRDefault="00523342" w:rsidP="00523342">
      <w:pPr>
        <w:rPr>
          <w:rFonts w:ascii="Arial" w:hAnsi="Arial" w:cs="Arial"/>
          <w:i/>
        </w:rPr>
      </w:pPr>
      <w:r>
        <w:rPr>
          <w:rFonts w:ascii="Arial" w:hAnsi="Arial" w:cs="Arial"/>
          <w:i/>
        </w:rPr>
        <w:t>Tipps:</w:t>
      </w:r>
    </w:p>
    <w:p w:rsidR="00523342" w:rsidRPr="0065679F" w:rsidRDefault="00523342" w:rsidP="00523342">
      <w:pPr>
        <w:pStyle w:val="Listenabsatz"/>
        <w:numPr>
          <w:ilvl w:val="0"/>
          <w:numId w:val="1"/>
        </w:numPr>
        <w:ind w:left="360"/>
        <w:rPr>
          <w:rFonts w:ascii="Arial" w:hAnsi="Arial" w:cs="Arial"/>
          <w:i/>
        </w:rPr>
      </w:pPr>
      <w:r w:rsidRPr="0065679F">
        <w:rPr>
          <w:rFonts w:ascii="Arial" w:hAnsi="Arial" w:cs="Arial"/>
          <w:i/>
        </w:rPr>
        <w:t>am besten während der Reaktion das Becherglas von unten beleuchten</w:t>
      </w:r>
    </w:p>
    <w:p w:rsidR="00523342" w:rsidRPr="0065679F" w:rsidRDefault="00523342" w:rsidP="00523342">
      <w:pPr>
        <w:pStyle w:val="Listenabsatz"/>
        <w:numPr>
          <w:ilvl w:val="0"/>
          <w:numId w:val="1"/>
        </w:numPr>
        <w:ind w:left="360"/>
        <w:rPr>
          <w:rFonts w:ascii="Arial" w:hAnsi="Arial" w:cs="Arial"/>
          <w:i/>
        </w:rPr>
      </w:pPr>
      <w:r w:rsidRPr="0065679F">
        <w:rPr>
          <w:rFonts w:ascii="Arial" w:hAnsi="Arial" w:cs="Arial"/>
          <w:i/>
        </w:rPr>
        <w:t>Um die exotherme Reaktion zu verdeutlichen, kann man die Temperatur der Schwefelsäure vor der Reaktion und dann noch einmal die Temperatur der Flüssigkeit danach messen. Während der Reaktion stört das Thermometer.</w:t>
      </w:r>
    </w:p>
    <w:p w:rsidR="00523342" w:rsidRDefault="00523342" w:rsidP="00523342">
      <w:pPr>
        <w:rPr>
          <w:rFonts w:ascii="Arial" w:hAnsi="Arial" w:cs="Arial"/>
          <w:i/>
        </w:rPr>
      </w:pPr>
    </w:p>
    <w:p w:rsidR="00523342" w:rsidRDefault="00523342" w:rsidP="00523342">
      <w:pPr>
        <w:rPr>
          <w:rFonts w:ascii="Arial" w:hAnsi="Arial" w:cs="Arial"/>
        </w:rPr>
      </w:pPr>
      <w:r>
        <w:rPr>
          <w:rFonts w:ascii="Arial" w:hAnsi="Arial" w:cs="Arial"/>
        </w:rPr>
        <w:t xml:space="preserve">Abfälle in Gefäß </w:t>
      </w:r>
      <w:r w:rsidR="00683B41">
        <w:rPr>
          <w:rFonts w:ascii="Arial" w:hAnsi="Arial" w:cs="Arial"/>
        </w:rPr>
        <w:t>„S</w:t>
      </w:r>
      <w:r>
        <w:rPr>
          <w:rFonts w:ascii="Arial" w:hAnsi="Arial" w:cs="Arial"/>
        </w:rPr>
        <w:t>aure und basische Abfälle mit Schwermetallen</w:t>
      </w:r>
      <w:r w:rsidR="00683B41">
        <w:rPr>
          <w:rFonts w:ascii="Arial" w:hAnsi="Arial" w:cs="Arial"/>
        </w:rPr>
        <w:t>“</w:t>
      </w:r>
    </w:p>
    <w:p w:rsidR="00523342" w:rsidRDefault="00523342" w:rsidP="00523342">
      <w:pPr>
        <w:rPr>
          <w:rFonts w:ascii="Arial" w:hAnsi="Arial" w:cs="Arial"/>
        </w:rPr>
      </w:pPr>
    </w:p>
    <w:p w:rsidR="00523342" w:rsidRDefault="00523342" w:rsidP="00523342">
      <w:pPr>
        <w:rPr>
          <w:rFonts w:ascii="Arial" w:hAnsi="Arial" w:cs="Arial"/>
          <w:i/>
        </w:rPr>
      </w:pPr>
    </w:p>
    <w:p w:rsidR="00523342" w:rsidRDefault="00523342" w:rsidP="00523342">
      <w:pPr>
        <w:autoSpaceDE w:val="0"/>
        <w:autoSpaceDN w:val="0"/>
        <w:adjustRightInd w:val="0"/>
        <w:rPr>
          <w:rFonts w:ascii="Arial" w:hAnsi="Arial" w:cs="Arial"/>
          <w:b/>
          <w:sz w:val="28"/>
          <w:szCs w:val="28"/>
          <w:u w:val="single"/>
        </w:rPr>
      </w:pPr>
    </w:p>
    <w:p w:rsidR="00523342" w:rsidRPr="00FF5585" w:rsidRDefault="00523342" w:rsidP="00523342">
      <w:pPr>
        <w:autoSpaceDE w:val="0"/>
        <w:autoSpaceDN w:val="0"/>
        <w:adjustRightInd w:val="0"/>
        <w:rPr>
          <w:rFonts w:ascii="Arial" w:hAnsi="Arial" w:cs="Arial"/>
          <w:b/>
          <w:sz w:val="28"/>
          <w:szCs w:val="28"/>
          <w:u w:val="single"/>
        </w:rPr>
      </w:pPr>
      <w:r w:rsidRPr="00FF5585">
        <w:rPr>
          <w:rFonts w:ascii="Arial" w:hAnsi="Arial" w:cs="Arial"/>
          <w:b/>
          <w:sz w:val="28"/>
          <w:szCs w:val="28"/>
          <w:u w:val="single"/>
        </w:rPr>
        <w:t>Demonstrationsversuch: Neutralisation von Natronbase und Salzsäuregas</w:t>
      </w:r>
    </w:p>
    <w:p w:rsidR="00523342" w:rsidRPr="00AC01BD" w:rsidRDefault="00523342" w:rsidP="00523342">
      <w:pPr>
        <w:autoSpaceDE w:val="0"/>
        <w:autoSpaceDN w:val="0"/>
        <w:adjustRightInd w:val="0"/>
        <w:rPr>
          <w:rFonts w:ascii="Arial" w:hAnsi="Arial" w:cs="Arial"/>
          <w:sz w:val="22"/>
          <w:szCs w:val="22"/>
        </w:rPr>
      </w:pPr>
      <w:r w:rsidRPr="00AC01BD">
        <w:rPr>
          <w:rFonts w:ascii="Arial" w:hAnsi="Arial" w:cs="Arial"/>
          <w:sz w:val="22"/>
          <w:szCs w:val="22"/>
        </w:rPr>
        <w:t xml:space="preserve">Durch Säureverdrängung aus Schwefelsäure und Natriumchlorid erzeugtes Salzsäuregas (Abb. 1, Einzelheiten siehe Demonstrationsversuch zur Säureverdrängung im Kapitel „Salzsäurespringbrunnen“) wird durch ein Verbrennungsrohr mit </w:t>
      </w:r>
      <w:proofErr w:type="spellStart"/>
      <w:proofErr w:type="gramStart"/>
      <w:r w:rsidRPr="00AC01BD">
        <w:rPr>
          <w:rFonts w:ascii="Arial" w:hAnsi="Arial" w:cs="Arial"/>
          <w:sz w:val="22"/>
          <w:szCs w:val="22"/>
        </w:rPr>
        <w:t>Natriumhydroxidplätzchen</w:t>
      </w:r>
      <w:proofErr w:type="spellEnd"/>
      <w:r w:rsidRPr="00AC01BD">
        <w:rPr>
          <w:rFonts w:ascii="Arial" w:hAnsi="Arial" w:cs="Arial"/>
          <w:sz w:val="22"/>
          <w:szCs w:val="22"/>
        </w:rPr>
        <w:t xml:space="preserve">  geleitet</w:t>
      </w:r>
      <w:proofErr w:type="gramEnd"/>
      <w:r w:rsidRPr="00AC01BD">
        <w:rPr>
          <w:rFonts w:ascii="Arial" w:hAnsi="Arial" w:cs="Arial"/>
          <w:sz w:val="22"/>
          <w:szCs w:val="22"/>
        </w:rPr>
        <w:t xml:space="preserve"> (Abb. 2). Die austretenden Gase werden in den Abzug geleitet.</w:t>
      </w:r>
    </w:p>
    <w:p w:rsidR="00523342" w:rsidRDefault="00523342" w:rsidP="00523342">
      <w:pPr>
        <w:autoSpaceDE w:val="0"/>
        <w:autoSpaceDN w:val="0"/>
        <w:adjustRightInd w:val="0"/>
        <w:rPr>
          <w:rFonts w:ascii="Arial" w:hAnsi="Arial" w:cs="Arial"/>
          <w:i/>
        </w:rPr>
      </w:pPr>
      <w:r>
        <w:rPr>
          <w:rFonts w:ascii="Arial" w:hAnsi="Arial" w:cs="Arial"/>
          <w:noProof/>
        </w:rPr>
        <w:drawing>
          <wp:anchor distT="0" distB="0" distL="114300" distR="114300" simplePos="0" relativeHeight="251660288" behindDoc="1" locked="0" layoutInCell="1" allowOverlap="1" wp14:anchorId="71EC2D18" wp14:editId="0C8AF5D2">
            <wp:simplePos x="0" y="0"/>
            <wp:positionH relativeFrom="column">
              <wp:posOffset>-136525</wp:posOffset>
            </wp:positionH>
            <wp:positionV relativeFrom="paragraph">
              <wp:posOffset>68580</wp:posOffset>
            </wp:positionV>
            <wp:extent cx="1306800" cy="2170800"/>
            <wp:effectExtent l="0" t="0" r="8255" b="1270"/>
            <wp:wrapTight wrapText="bothSides">
              <wp:wrapPolygon edited="0">
                <wp:start x="0" y="0"/>
                <wp:lineTo x="0" y="21423"/>
                <wp:lineTo x="21421" y="21423"/>
                <wp:lineTo x="21421"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6800" cy="2170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3342" w:rsidRPr="00607B58" w:rsidRDefault="00523342" w:rsidP="00523342">
      <w:pPr>
        <w:autoSpaceDE w:val="0"/>
        <w:autoSpaceDN w:val="0"/>
        <w:adjustRightInd w:val="0"/>
        <w:rPr>
          <w:rFonts w:ascii="Arial" w:hAnsi="Arial" w:cs="Arial"/>
        </w:rPr>
      </w:pPr>
      <w:r w:rsidRPr="00607B58">
        <w:rPr>
          <w:rFonts w:ascii="Arial" w:hAnsi="Arial" w:cs="Arial"/>
          <w:i/>
          <w:noProof/>
          <w:sz w:val="22"/>
          <w:szCs w:val="22"/>
        </w:rPr>
        <w:drawing>
          <wp:anchor distT="0" distB="0" distL="114300" distR="114300" simplePos="0" relativeHeight="251659264" behindDoc="1" locked="0" layoutInCell="1" allowOverlap="1" wp14:anchorId="4A0535C2" wp14:editId="44EC1D5B">
            <wp:simplePos x="0" y="0"/>
            <wp:positionH relativeFrom="column">
              <wp:posOffset>2034540</wp:posOffset>
            </wp:positionH>
            <wp:positionV relativeFrom="paragraph">
              <wp:posOffset>173990</wp:posOffset>
            </wp:positionV>
            <wp:extent cx="2286000" cy="579600"/>
            <wp:effectExtent l="0" t="0" r="0" b="0"/>
            <wp:wrapTight wrapText="bothSides">
              <wp:wrapPolygon edited="0">
                <wp:start x="0" y="0"/>
                <wp:lineTo x="0" y="20605"/>
                <wp:lineTo x="21420" y="20605"/>
                <wp:lineTo x="2142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6000" cy="57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7B58">
        <w:rPr>
          <w:rFonts w:ascii="Arial" w:hAnsi="Arial" w:cs="Arial"/>
          <w:i/>
        </w:rPr>
        <w:t>Abb. 1</w:t>
      </w:r>
    </w:p>
    <w:p w:rsidR="00523342" w:rsidRDefault="00523342" w:rsidP="00523342">
      <w:pPr>
        <w:autoSpaceDE w:val="0"/>
        <w:autoSpaceDN w:val="0"/>
        <w:adjustRightInd w:val="0"/>
        <w:rPr>
          <w:rFonts w:ascii="Arial" w:hAnsi="Arial" w:cs="Arial"/>
        </w:rPr>
      </w:pPr>
    </w:p>
    <w:p w:rsidR="00523342" w:rsidRDefault="00523342" w:rsidP="00523342">
      <w:pPr>
        <w:autoSpaceDE w:val="0"/>
        <w:autoSpaceDN w:val="0"/>
        <w:adjustRightInd w:val="0"/>
        <w:ind w:left="2124" w:firstLine="708"/>
        <w:rPr>
          <w:rFonts w:ascii="Arial" w:hAnsi="Arial" w:cs="Arial"/>
        </w:rPr>
      </w:pPr>
      <w:r>
        <w:rPr>
          <w:rFonts w:ascii="Arial" w:hAnsi="Arial" w:cs="Arial"/>
          <w:i/>
        </w:rPr>
        <w:t xml:space="preserve">                     Abb. 2</w:t>
      </w:r>
      <w:r>
        <w:rPr>
          <w:rFonts w:ascii="Arial" w:hAnsi="Arial" w:cs="Arial"/>
        </w:rPr>
        <w:br/>
      </w:r>
      <w:r>
        <w:rPr>
          <w:rFonts w:ascii="Arial" w:hAnsi="Arial" w:cs="Arial"/>
        </w:rPr>
        <w:br/>
      </w:r>
    </w:p>
    <w:p w:rsidR="00523342" w:rsidRDefault="00523342" w:rsidP="00523342">
      <w:pPr>
        <w:autoSpaceDE w:val="0"/>
        <w:autoSpaceDN w:val="0"/>
        <w:adjustRightInd w:val="0"/>
        <w:rPr>
          <w:rFonts w:ascii="Arial" w:hAnsi="Arial" w:cs="Arial"/>
        </w:rPr>
      </w:pPr>
    </w:p>
    <w:p w:rsidR="00523342" w:rsidRPr="00607B58" w:rsidRDefault="00523342" w:rsidP="00523342">
      <w:pPr>
        <w:autoSpaceDE w:val="0"/>
        <w:autoSpaceDN w:val="0"/>
        <w:adjustRightInd w:val="0"/>
        <w:rPr>
          <w:rFonts w:ascii="Arial" w:hAnsi="Arial" w:cs="Arial"/>
        </w:rPr>
      </w:pPr>
      <w:r w:rsidRPr="00AC01BD">
        <w:rPr>
          <w:rFonts w:ascii="Arial" w:hAnsi="Arial" w:cs="Arial"/>
          <w:u w:val="single"/>
        </w:rPr>
        <w:t>Beobachtungen:</w:t>
      </w:r>
    </w:p>
    <w:p w:rsidR="00523342" w:rsidRPr="00AC01BD" w:rsidRDefault="00523342" w:rsidP="00523342">
      <w:pPr>
        <w:pStyle w:val="Listenabsatz"/>
        <w:numPr>
          <w:ilvl w:val="0"/>
          <w:numId w:val="1"/>
        </w:numPr>
        <w:autoSpaceDE w:val="0"/>
        <w:autoSpaceDN w:val="0"/>
        <w:adjustRightInd w:val="0"/>
        <w:rPr>
          <w:rFonts w:ascii="Arial" w:hAnsi="Arial" w:cs="Arial"/>
          <w:sz w:val="22"/>
          <w:szCs w:val="22"/>
        </w:rPr>
      </w:pPr>
      <w:r w:rsidRPr="00AC01BD">
        <w:rPr>
          <w:rFonts w:ascii="Arial" w:hAnsi="Arial" w:cs="Arial"/>
          <w:sz w:val="22"/>
          <w:szCs w:val="22"/>
        </w:rPr>
        <w:t xml:space="preserve">Bildung kleiner Kristalle auf den </w:t>
      </w:r>
      <w:proofErr w:type="spellStart"/>
      <w:r w:rsidRPr="00AC01BD">
        <w:rPr>
          <w:rFonts w:ascii="Arial" w:hAnsi="Arial" w:cs="Arial"/>
          <w:sz w:val="22"/>
          <w:szCs w:val="22"/>
        </w:rPr>
        <w:t>Natriumhydroxidplätzchen</w:t>
      </w:r>
      <w:proofErr w:type="spellEnd"/>
      <w:r w:rsidRPr="00AC01BD">
        <w:rPr>
          <w:rFonts w:ascii="Arial" w:hAnsi="Arial" w:cs="Arial"/>
          <w:sz w:val="22"/>
          <w:szCs w:val="22"/>
        </w:rPr>
        <w:t xml:space="preserve">: </w:t>
      </w:r>
      <w:r>
        <w:rPr>
          <w:rFonts w:ascii="Arial" w:hAnsi="Arial" w:cs="Arial"/>
          <w:sz w:val="22"/>
          <w:szCs w:val="22"/>
        </w:rPr>
        <w:t xml:space="preserve">      →</w:t>
      </w:r>
      <w:r w:rsidRPr="00AC01BD">
        <w:rPr>
          <w:rFonts w:ascii="Arial" w:hAnsi="Arial" w:cs="Arial"/>
          <w:sz w:val="22"/>
          <w:szCs w:val="22"/>
        </w:rPr>
        <w:t>Natriumchlorid</w:t>
      </w:r>
      <w:r>
        <w:rPr>
          <w:rFonts w:ascii="Arial" w:hAnsi="Arial" w:cs="Arial"/>
          <w:sz w:val="22"/>
          <w:szCs w:val="22"/>
        </w:rPr>
        <w:br/>
      </w:r>
    </w:p>
    <w:p w:rsidR="00523342" w:rsidRPr="00AC01BD" w:rsidRDefault="00523342" w:rsidP="00523342">
      <w:pPr>
        <w:pStyle w:val="Listenabsatz"/>
        <w:numPr>
          <w:ilvl w:val="0"/>
          <w:numId w:val="1"/>
        </w:numPr>
        <w:autoSpaceDE w:val="0"/>
        <w:autoSpaceDN w:val="0"/>
        <w:adjustRightInd w:val="0"/>
        <w:rPr>
          <w:rFonts w:ascii="Arial" w:hAnsi="Arial" w:cs="Arial"/>
          <w:sz w:val="22"/>
          <w:szCs w:val="22"/>
        </w:rPr>
      </w:pPr>
      <w:r w:rsidRPr="00AC01BD">
        <w:rPr>
          <w:rFonts w:ascii="Arial" w:hAnsi="Arial" w:cs="Arial"/>
          <w:sz w:val="22"/>
          <w:szCs w:val="22"/>
        </w:rPr>
        <w:t xml:space="preserve">Kondensation von Flüssigkeit im oberen Teil des Verbrennungsrohres: </w:t>
      </w:r>
      <w:r>
        <w:rPr>
          <w:rFonts w:ascii="Arial" w:hAnsi="Arial" w:cs="Arial"/>
          <w:sz w:val="22"/>
          <w:szCs w:val="22"/>
        </w:rPr>
        <w:t>→</w:t>
      </w:r>
      <w:r w:rsidRPr="00AC01BD">
        <w:rPr>
          <w:rFonts w:ascii="Arial" w:hAnsi="Arial" w:cs="Arial"/>
          <w:sz w:val="22"/>
          <w:szCs w:val="22"/>
        </w:rPr>
        <w:t>Wasser</w:t>
      </w:r>
      <w:r>
        <w:rPr>
          <w:rFonts w:ascii="Arial" w:hAnsi="Arial" w:cs="Arial"/>
          <w:sz w:val="22"/>
          <w:szCs w:val="22"/>
        </w:rPr>
        <w:br/>
      </w:r>
    </w:p>
    <w:p w:rsidR="00523342" w:rsidRDefault="00523342" w:rsidP="00523342">
      <w:pPr>
        <w:pStyle w:val="Listenabsatz"/>
        <w:numPr>
          <w:ilvl w:val="0"/>
          <w:numId w:val="1"/>
        </w:numPr>
        <w:autoSpaceDE w:val="0"/>
        <w:autoSpaceDN w:val="0"/>
        <w:adjustRightInd w:val="0"/>
        <w:rPr>
          <w:rFonts w:ascii="Arial" w:hAnsi="Arial" w:cs="Arial"/>
        </w:rPr>
      </w:pPr>
      <w:r w:rsidRPr="00AC01BD">
        <w:rPr>
          <w:rFonts w:ascii="Arial" w:hAnsi="Arial" w:cs="Arial"/>
          <w:sz w:val="22"/>
          <w:szCs w:val="22"/>
        </w:rPr>
        <w:t>Selbsterhitzung des Verbrennungsrohres</w:t>
      </w:r>
      <w:r w:rsidRPr="00AC01BD">
        <w:rPr>
          <w:rFonts w:ascii="Arial" w:hAnsi="Arial" w:cs="Arial"/>
          <w:sz w:val="22"/>
          <w:szCs w:val="22"/>
        </w:rPr>
        <w:br/>
      </w:r>
    </w:p>
    <w:p w:rsidR="00A9239D" w:rsidRDefault="000D5F36" w:rsidP="00F63A50">
      <w:pPr>
        <w:pBdr>
          <w:top w:val="single" w:sz="4" w:space="1" w:color="auto"/>
          <w:left w:val="single" w:sz="4" w:space="4" w:color="auto"/>
          <w:bottom w:val="single" w:sz="4" w:space="1" w:color="auto"/>
          <w:right w:val="single" w:sz="4" w:space="4" w:color="auto"/>
        </w:pBdr>
        <w:rPr>
          <w:rFonts w:ascii="Arial" w:hAnsi="Arial" w:cs="Arial"/>
          <w:i/>
          <w:sz w:val="28"/>
          <w:szCs w:val="28"/>
          <w:u w:val="single"/>
        </w:rPr>
      </w:pPr>
      <w:r>
        <w:rPr>
          <w:rFonts w:ascii="Arial" w:hAnsi="Arial" w:cs="Arial"/>
          <w:i/>
          <w:sz w:val="28"/>
          <w:szCs w:val="28"/>
          <w:u w:val="single"/>
        </w:rPr>
        <w:lastRenderedPageBreak/>
        <w:t>Pädagogisch-didaktische Hinweise</w:t>
      </w:r>
    </w:p>
    <w:p w:rsidR="000D5F36" w:rsidRDefault="000D5F36" w:rsidP="00F63A50">
      <w:pPr>
        <w:pBdr>
          <w:top w:val="single" w:sz="4" w:space="1" w:color="auto"/>
          <w:left w:val="single" w:sz="4" w:space="4" w:color="auto"/>
          <w:bottom w:val="single" w:sz="4" w:space="1" w:color="auto"/>
          <w:right w:val="single" w:sz="4" w:space="4" w:color="auto"/>
        </w:pBdr>
        <w:rPr>
          <w:rFonts w:ascii="Arial" w:hAnsi="Arial" w:cs="Arial"/>
          <w:i/>
          <w:sz w:val="28"/>
          <w:szCs w:val="28"/>
          <w:u w:val="single"/>
        </w:rPr>
      </w:pPr>
    </w:p>
    <w:p w:rsidR="000D5F36" w:rsidRDefault="000D5F36" w:rsidP="00F63A50">
      <w:pPr>
        <w:pStyle w:val="Listenabsatz"/>
        <w:numPr>
          <w:ilvl w:val="0"/>
          <w:numId w:val="2"/>
        </w:numPr>
        <w:pBdr>
          <w:top w:val="single" w:sz="4" w:space="1" w:color="auto"/>
          <w:left w:val="single" w:sz="4" w:space="4" w:color="auto"/>
          <w:bottom w:val="single" w:sz="4" w:space="1" w:color="auto"/>
          <w:right w:val="single" w:sz="4" w:space="4" w:color="auto"/>
        </w:pBdr>
        <w:rPr>
          <w:rFonts w:ascii="Arial" w:hAnsi="Arial" w:cs="Arial"/>
          <w:i/>
          <w:sz w:val="22"/>
          <w:szCs w:val="22"/>
        </w:rPr>
      </w:pPr>
      <w:r>
        <w:rPr>
          <w:rFonts w:ascii="Arial" w:hAnsi="Arial" w:cs="Arial"/>
          <w:i/>
          <w:sz w:val="22"/>
          <w:szCs w:val="22"/>
        </w:rPr>
        <w:t>Bereits bei der Besprechung der Salzspaltung in Säure und Base entsteht in der Klasse oft die Frage, ob man diesen Prozess auch rückgängig machen kann. Danach wäre logisch, dass aus Säure und Base wieder ein Salz entstehen würde.</w:t>
      </w:r>
      <w:r>
        <w:rPr>
          <w:rFonts w:ascii="Arial" w:hAnsi="Arial" w:cs="Arial"/>
          <w:i/>
          <w:sz w:val="22"/>
          <w:szCs w:val="22"/>
        </w:rPr>
        <w:br/>
      </w:r>
    </w:p>
    <w:p w:rsidR="000D5F36" w:rsidRDefault="000D5F36" w:rsidP="00F63A50">
      <w:pPr>
        <w:pStyle w:val="Listenabsatz"/>
        <w:numPr>
          <w:ilvl w:val="0"/>
          <w:numId w:val="2"/>
        </w:numPr>
        <w:pBdr>
          <w:top w:val="single" w:sz="4" w:space="1" w:color="auto"/>
          <w:left w:val="single" w:sz="4" w:space="4" w:color="auto"/>
          <w:bottom w:val="single" w:sz="4" w:space="1" w:color="auto"/>
          <w:right w:val="single" w:sz="4" w:space="4" w:color="auto"/>
        </w:pBdr>
        <w:rPr>
          <w:rFonts w:ascii="Arial" w:hAnsi="Arial" w:cs="Arial"/>
          <w:i/>
          <w:sz w:val="22"/>
          <w:szCs w:val="22"/>
        </w:rPr>
      </w:pPr>
      <w:r>
        <w:rPr>
          <w:rFonts w:ascii="Arial" w:hAnsi="Arial" w:cs="Arial"/>
          <w:i/>
          <w:sz w:val="22"/>
          <w:szCs w:val="22"/>
        </w:rPr>
        <w:t>Das erste Experiment hat den Vorteil der Ansch</w:t>
      </w:r>
      <w:r w:rsidR="00B16EE1">
        <w:rPr>
          <w:rFonts w:ascii="Arial" w:hAnsi="Arial" w:cs="Arial"/>
          <w:i/>
          <w:sz w:val="22"/>
          <w:szCs w:val="22"/>
        </w:rPr>
        <w:t>a</w:t>
      </w:r>
      <w:r>
        <w:rPr>
          <w:rFonts w:ascii="Arial" w:hAnsi="Arial" w:cs="Arial"/>
          <w:i/>
          <w:sz w:val="22"/>
          <w:szCs w:val="22"/>
        </w:rPr>
        <w:t>ulichkeit durch die plötzliche Entstehung der blauen Farbe und die starke Hitzeentwicklung. Zudem entstehen nach Abkühlung bis zum nächsten Tag schöne Kristalle. – Außerdem ist das blaue Kupfersulfat-</w:t>
      </w:r>
      <w:proofErr w:type="spellStart"/>
      <w:r>
        <w:rPr>
          <w:rFonts w:ascii="Arial" w:hAnsi="Arial" w:cs="Arial"/>
          <w:i/>
          <w:sz w:val="22"/>
          <w:szCs w:val="22"/>
        </w:rPr>
        <w:t>pentahydrat</w:t>
      </w:r>
      <w:proofErr w:type="spellEnd"/>
      <w:r w:rsidR="00683B41">
        <w:rPr>
          <w:rFonts w:ascii="Arial" w:hAnsi="Arial" w:cs="Arial"/>
          <w:i/>
          <w:sz w:val="22"/>
          <w:szCs w:val="22"/>
        </w:rPr>
        <w:t xml:space="preserve"> in der Klasse bereits bekannt.</w:t>
      </w:r>
      <w:r>
        <w:rPr>
          <w:rFonts w:ascii="Arial" w:hAnsi="Arial" w:cs="Arial"/>
          <w:i/>
          <w:sz w:val="22"/>
          <w:szCs w:val="22"/>
        </w:rPr>
        <w:br/>
      </w:r>
    </w:p>
    <w:p w:rsidR="000D5F36" w:rsidRDefault="000D5F36" w:rsidP="00F63A50">
      <w:pPr>
        <w:pStyle w:val="Listenabsatz"/>
        <w:numPr>
          <w:ilvl w:val="0"/>
          <w:numId w:val="2"/>
        </w:numPr>
        <w:pBdr>
          <w:top w:val="single" w:sz="4" w:space="1" w:color="auto"/>
          <w:left w:val="single" w:sz="4" w:space="4" w:color="auto"/>
          <w:bottom w:val="single" w:sz="4" w:space="1" w:color="auto"/>
          <w:right w:val="single" w:sz="4" w:space="4" w:color="auto"/>
        </w:pBdr>
        <w:rPr>
          <w:rFonts w:ascii="Arial" w:hAnsi="Arial" w:cs="Arial"/>
          <w:i/>
          <w:sz w:val="22"/>
          <w:szCs w:val="22"/>
        </w:rPr>
      </w:pPr>
      <w:r>
        <w:rPr>
          <w:rFonts w:ascii="Arial" w:hAnsi="Arial" w:cs="Arial"/>
          <w:i/>
          <w:sz w:val="22"/>
          <w:szCs w:val="22"/>
        </w:rPr>
        <w:t>Das zweite Experimen</w:t>
      </w:r>
      <w:r w:rsidR="00B16EE1">
        <w:rPr>
          <w:rFonts w:ascii="Arial" w:hAnsi="Arial" w:cs="Arial"/>
          <w:i/>
          <w:sz w:val="22"/>
          <w:szCs w:val="22"/>
        </w:rPr>
        <w:t>t</w:t>
      </w:r>
      <w:r>
        <w:rPr>
          <w:rFonts w:ascii="Arial" w:hAnsi="Arial" w:cs="Arial"/>
          <w:i/>
          <w:sz w:val="22"/>
          <w:szCs w:val="22"/>
        </w:rPr>
        <w:t xml:space="preserve"> hat den </w:t>
      </w:r>
      <w:r w:rsidRPr="00683B41">
        <w:rPr>
          <w:rFonts w:ascii="Arial" w:hAnsi="Arial" w:cs="Arial"/>
          <w:i/>
          <w:sz w:val="22"/>
          <w:szCs w:val="22"/>
          <w:u w:val="single"/>
        </w:rPr>
        <w:t>Vorteil</w:t>
      </w:r>
      <w:r>
        <w:rPr>
          <w:rFonts w:ascii="Arial" w:hAnsi="Arial" w:cs="Arial"/>
          <w:i/>
          <w:sz w:val="22"/>
          <w:szCs w:val="22"/>
        </w:rPr>
        <w:t xml:space="preserve">, dass man direkt beobachten kann, dass neben den Salzkristallen auch Flüssigkeit entsteht. Spätestens bei der Besprechung der pH-Werte ist es von grundsätzlicher Bedeutung, dass bei einer Neutralisation nicht nur Salz, sondern auch Wasser </w:t>
      </w:r>
      <w:r w:rsidR="003767A4">
        <w:rPr>
          <w:rFonts w:ascii="Arial" w:hAnsi="Arial" w:cs="Arial"/>
          <w:i/>
          <w:sz w:val="22"/>
          <w:szCs w:val="22"/>
        </w:rPr>
        <w:t>entsteht. (Die Bildung von Wasser tritt beim ersten Versuch nicht in Erscheinung, kann nur mitgeteilt werden.)</w:t>
      </w:r>
      <w:r w:rsidR="003767A4">
        <w:rPr>
          <w:rFonts w:ascii="Arial" w:hAnsi="Arial" w:cs="Arial"/>
          <w:i/>
          <w:sz w:val="22"/>
          <w:szCs w:val="22"/>
        </w:rPr>
        <w:br/>
      </w:r>
    </w:p>
    <w:p w:rsidR="003767A4" w:rsidRDefault="003767A4" w:rsidP="00F63A50">
      <w:pPr>
        <w:pStyle w:val="Listenabsatz"/>
        <w:numPr>
          <w:ilvl w:val="0"/>
          <w:numId w:val="2"/>
        </w:numPr>
        <w:pBdr>
          <w:top w:val="single" w:sz="4" w:space="1" w:color="auto"/>
          <w:left w:val="single" w:sz="4" w:space="4" w:color="auto"/>
          <w:bottom w:val="single" w:sz="4" w:space="1" w:color="auto"/>
          <w:right w:val="single" w:sz="4" w:space="4" w:color="auto"/>
        </w:pBdr>
        <w:rPr>
          <w:rFonts w:ascii="Arial" w:hAnsi="Arial" w:cs="Arial"/>
          <w:i/>
          <w:sz w:val="22"/>
          <w:szCs w:val="22"/>
        </w:rPr>
      </w:pPr>
      <w:r>
        <w:rPr>
          <w:rFonts w:ascii="Arial" w:hAnsi="Arial" w:cs="Arial"/>
          <w:i/>
          <w:sz w:val="22"/>
          <w:szCs w:val="22"/>
        </w:rPr>
        <w:t xml:space="preserve">Der </w:t>
      </w:r>
      <w:r w:rsidRPr="00683B41">
        <w:rPr>
          <w:rFonts w:ascii="Arial" w:hAnsi="Arial" w:cs="Arial"/>
          <w:i/>
          <w:sz w:val="22"/>
          <w:szCs w:val="22"/>
          <w:u w:val="single"/>
        </w:rPr>
        <w:t>Nachteil</w:t>
      </w:r>
      <w:r>
        <w:rPr>
          <w:rFonts w:ascii="Arial" w:hAnsi="Arial" w:cs="Arial"/>
          <w:i/>
          <w:sz w:val="22"/>
          <w:szCs w:val="22"/>
        </w:rPr>
        <w:t xml:space="preserve"> des zweiten Experimentes besteht darin, dass man die Salzsäuredämpfe zuerst durch Säureverdrängung herstellen muss. Unter </w:t>
      </w:r>
      <w:r w:rsidRPr="003767A4">
        <w:rPr>
          <w:rFonts w:ascii="Arial" w:hAnsi="Arial" w:cs="Arial"/>
          <w:i/>
          <w:sz w:val="22"/>
          <w:szCs w:val="22"/>
        </w:rPr>
        <w:t>diesem</w:t>
      </w:r>
      <w:r>
        <w:rPr>
          <w:rFonts w:ascii="Arial" w:hAnsi="Arial" w:cs="Arial"/>
          <w:i/>
          <w:sz w:val="22"/>
          <w:szCs w:val="22"/>
        </w:rPr>
        <w:t xml:space="preserve"> </w:t>
      </w:r>
      <w:r w:rsidRPr="003767A4">
        <w:rPr>
          <w:rFonts w:ascii="Arial" w:hAnsi="Arial" w:cs="Arial"/>
          <w:i/>
          <w:sz w:val="22"/>
          <w:szCs w:val="22"/>
        </w:rPr>
        <w:t>Gesichtspunkt</w:t>
      </w:r>
      <w:r>
        <w:rPr>
          <w:rFonts w:ascii="Arial" w:hAnsi="Arial" w:cs="Arial"/>
          <w:i/>
          <w:sz w:val="22"/>
          <w:szCs w:val="22"/>
        </w:rPr>
        <w:t xml:space="preserve"> wäre es sinnvoller</w:t>
      </w:r>
      <w:r w:rsidR="00683B41">
        <w:rPr>
          <w:rFonts w:ascii="Arial" w:hAnsi="Arial" w:cs="Arial"/>
          <w:i/>
          <w:sz w:val="22"/>
          <w:szCs w:val="22"/>
        </w:rPr>
        <w:t>,</w:t>
      </w:r>
      <w:r>
        <w:rPr>
          <w:rFonts w:ascii="Arial" w:hAnsi="Arial" w:cs="Arial"/>
          <w:i/>
          <w:sz w:val="22"/>
          <w:szCs w:val="22"/>
        </w:rPr>
        <w:t xml:space="preserve"> die Neutralisation erst </w:t>
      </w:r>
      <w:r>
        <w:rPr>
          <w:rFonts w:ascii="Arial" w:hAnsi="Arial" w:cs="Arial"/>
          <w:i/>
          <w:sz w:val="22"/>
          <w:szCs w:val="22"/>
          <w:u w:val="single"/>
        </w:rPr>
        <w:t>nach</w:t>
      </w:r>
      <w:r>
        <w:rPr>
          <w:rFonts w:ascii="Arial" w:hAnsi="Arial" w:cs="Arial"/>
          <w:i/>
          <w:sz w:val="22"/>
          <w:szCs w:val="22"/>
        </w:rPr>
        <w:t xml:space="preserve"> der Säureverdrängung zu behandeln.</w:t>
      </w:r>
    </w:p>
    <w:p w:rsidR="003767A4" w:rsidRDefault="003767A4" w:rsidP="00F63A50">
      <w:pPr>
        <w:pBdr>
          <w:top w:val="single" w:sz="4" w:space="1" w:color="auto"/>
          <w:left w:val="single" w:sz="4" w:space="4" w:color="auto"/>
          <w:bottom w:val="single" w:sz="4" w:space="1" w:color="auto"/>
          <w:right w:val="single" w:sz="4" w:space="4" w:color="auto"/>
        </w:pBdr>
        <w:rPr>
          <w:rFonts w:ascii="Arial" w:hAnsi="Arial" w:cs="Arial"/>
          <w:i/>
          <w:sz w:val="22"/>
          <w:szCs w:val="22"/>
        </w:rPr>
      </w:pPr>
    </w:p>
    <w:p w:rsidR="003767A4" w:rsidRDefault="003767A4" w:rsidP="00F63A50">
      <w:pPr>
        <w:pBdr>
          <w:top w:val="single" w:sz="4" w:space="1" w:color="auto"/>
          <w:left w:val="single" w:sz="4" w:space="4" w:color="auto"/>
          <w:bottom w:val="single" w:sz="4" w:space="1" w:color="auto"/>
          <w:right w:val="single" w:sz="4" w:space="4" w:color="auto"/>
        </w:pBdr>
        <w:rPr>
          <w:rFonts w:ascii="Arial" w:hAnsi="Arial" w:cs="Arial"/>
          <w:i/>
          <w:sz w:val="22"/>
          <w:szCs w:val="22"/>
        </w:rPr>
      </w:pPr>
      <w:r>
        <w:rPr>
          <w:rFonts w:ascii="Arial" w:hAnsi="Arial" w:cs="Arial"/>
          <w:i/>
          <w:sz w:val="22"/>
          <w:szCs w:val="22"/>
        </w:rPr>
        <w:t>Reakt</w:t>
      </w:r>
      <w:r w:rsidR="00F63A50">
        <w:rPr>
          <w:rFonts w:ascii="Arial" w:hAnsi="Arial" w:cs="Arial"/>
          <w:i/>
          <w:sz w:val="22"/>
          <w:szCs w:val="22"/>
        </w:rPr>
        <w:t>i</w:t>
      </w:r>
      <w:r>
        <w:rPr>
          <w:rFonts w:ascii="Arial" w:hAnsi="Arial" w:cs="Arial"/>
          <w:i/>
          <w:sz w:val="22"/>
          <w:szCs w:val="22"/>
        </w:rPr>
        <w:t>onsschemata:</w:t>
      </w:r>
    </w:p>
    <w:p w:rsidR="00683B41" w:rsidRDefault="00683B41" w:rsidP="00F63A50">
      <w:pPr>
        <w:pBdr>
          <w:top w:val="single" w:sz="4" w:space="1" w:color="auto"/>
          <w:left w:val="single" w:sz="4" w:space="4" w:color="auto"/>
          <w:bottom w:val="single" w:sz="4" w:space="1" w:color="auto"/>
          <w:right w:val="single" w:sz="4" w:space="4" w:color="auto"/>
        </w:pBdr>
        <w:rPr>
          <w:rFonts w:ascii="Arial" w:hAnsi="Arial" w:cs="Arial"/>
          <w:i/>
          <w:sz w:val="22"/>
          <w:szCs w:val="22"/>
        </w:rPr>
      </w:pPr>
    </w:p>
    <w:p w:rsidR="00683B41" w:rsidRDefault="00683B41" w:rsidP="00F63A50">
      <w:pPr>
        <w:pBdr>
          <w:top w:val="single" w:sz="4" w:space="1" w:color="auto"/>
          <w:left w:val="single" w:sz="4" w:space="4" w:color="auto"/>
          <w:bottom w:val="single" w:sz="4" w:space="1" w:color="auto"/>
          <w:right w:val="single" w:sz="4" w:space="4" w:color="auto"/>
        </w:pBdr>
        <w:rPr>
          <w:rFonts w:ascii="Arial" w:hAnsi="Arial" w:cs="Arial"/>
          <w:i/>
          <w:sz w:val="22"/>
          <w:szCs w:val="22"/>
        </w:rPr>
      </w:pPr>
    </w:p>
    <w:p w:rsidR="00683B41" w:rsidRDefault="00801AED" w:rsidP="00F63A50">
      <w:pPr>
        <w:pBdr>
          <w:top w:val="single" w:sz="4" w:space="1" w:color="auto"/>
          <w:left w:val="single" w:sz="4" w:space="4" w:color="auto"/>
          <w:bottom w:val="single" w:sz="4" w:space="1" w:color="auto"/>
          <w:right w:val="single" w:sz="4" w:space="4" w:color="auto"/>
        </w:pBdr>
        <w:ind w:left="2123" w:hanging="2123"/>
        <w:rPr>
          <w:rFonts w:ascii="Arial" w:hAnsi="Arial" w:cs="Arial"/>
          <w:i/>
          <w:sz w:val="22"/>
          <w:szCs w:val="22"/>
        </w:rPr>
      </w:pPr>
      <w:r w:rsidRPr="00801AED">
        <w:rPr>
          <w:rFonts w:ascii="Arial" w:hAnsi="Arial" w:cs="Arial"/>
          <w:i/>
          <w:noProof/>
          <w:sz w:val="22"/>
          <w:szCs w:val="22"/>
        </w:rPr>
        <w:drawing>
          <wp:anchor distT="0" distB="0" distL="114300" distR="114300" simplePos="0" relativeHeight="251663360" behindDoc="1" locked="0" layoutInCell="1" allowOverlap="1" wp14:anchorId="06135146" wp14:editId="2E218FD2">
            <wp:simplePos x="0" y="0"/>
            <wp:positionH relativeFrom="column">
              <wp:posOffset>4322801</wp:posOffset>
            </wp:positionH>
            <wp:positionV relativeFrom="paragraph">
              <wp:posOffset>209804</wp:posOffset>
            </wp:positionV>
            <wp:extent cx="716890" cy="1076050"/>
            <wp:effectExtent l="0" t="0" r="7620" b="0"/>
            <wp:wrapNone/>
            <wp:docPr id="4" name="Grafik 4" descr="C:\Users\meinr\Desktop\Gabelpfeil doppe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inr\Desktop\Gabelpfeil doppel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6890" cy="1076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01AED">
        <w:rPr>
          <w:rFonts w:ascii="Arial" w:hAnsi="Arial" w:cs="Arial"/>
          <w:i/>
          <w:noProof/>
          <w:sz w:val="22"/>
          <w:szCs w:val="22"/>
        </w:rPr>
        <w:drawing>
          <wp:anchor distT="0" distB="0" distL="114300" distR="114300" simplePos="0" relativeHeight="251661312" behindDoc="1" locked="0" layoutInCell="1" allowOverlap="1" wp14:anchorId="1B78B2EE" wp14:editId="0075241D">
            <wp:simplePos x="0" y="0"/>
            <wp:positionH relativeFrom="column">
              <wp:posOffset>705891</wp:posOffset>
            </wp:positionH>
            <wp:positionV relativeFrom="paragraph">
              <wp:posOffset>210769</wp:posOffset>
            </wp:positionV>
            <wp:extent cx="716890" cy="1076050"/>
            <wp:effectExtent l="0" t="0" r="7620" b="0"/>
            <wp:wrapNone/>
            <wp:docPr id="3" name="Grafik 3" descr="C:\Users\meinr\Desktop\Gabelpfeil doppe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inr\Desktop\Gabelpfeil doppel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506" cy="10814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3B41">
        <w:rPr>
          <w:rFonts w:ascii="Arial" w:hAnsi="Arial" w:cs="Arial"/>
          <w:i/>
          <w:sz w:val="22"/>
          <w:szCs w:val="22"/>
        </w:rPr>
        <w:t>Kupferbase</w:t>
      </w:r>
      <w:r w:rsidR="00683B41">
        <w:rPr>
          <w:rFonts w:ascii="Arial" w:hAnsi="Arial" w:cs="Arial"/>
          <w:i/>
          <w:sz w:val="22"/>
          <w:szCs w:val="22"/>
        </w:rPr>
        <w:tab/>
      </w:r>
      <w:r w:rsidR="00683B41">
        <w:rPr>
          <w:rFonts w:ascii="Arial" w:hAnsi="Arial" w:cs="Arial"/>
          <w:i/>
          <w:sz w:val="22"/>
          <w:szCs w:val="22"/>
        </w:rPr>
        <w:tab/>
      </w:r>
      <w:proofErr w:type="spellStart"/>
      <w:r w:rsidR="00683B41">
        <w:rPr>
          <w:rFonts w:ascii="Arial" w:hAnsi="Arial" w:cs="Arial"/>
          <w:i/>
          <w:sz w:val="22"/>
          <w:szCs w:val="22"/>
        </w:rPr>
        <w:t>Sulfatsäure</w:t>
      </w:r>
      <w:proofErr w:type="spellEnd"/>
      <w:r w:rsidR="00683B41">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sidR="00683B41">
        <w:rPr>
          <w:rFonts w:ascii="Arial" w:hAnsi="Arial" w:cs="Arial"/>
          <w:i/>
          <w:sz w:val="22"/>
          <w:szCs w:val="22"/>
        </w:rPr>
        <w:t>Natronbase</w:t>
      </w:r>
      <w:r w:rsidR="00683B41">
        <w:rPr>
          <w:rFonts w:ascii="Arial" w:hAnsi="Arial" w:cs="Arial"/>
          <w:i/>
          <w:sz w:val="22"/>
          <w:szCs w:val="22"/>
        </w:rPr>
        <w:tab/>
      </w:r>
      <w:r w:rsidR="00683B41">
        <w:rPr>
          <w:rFonts w:ascii="Arial" w:hAnsi="Arial" w:cs="Arial"/>
          <w:i/>
          <w:sz w:val="22"/>
          <w:szCs w:val="22"/>
        </w:rPr>
        <w:tab/>
      </w:r>
      <w:proofErr w:type="spellStart"/>
      <w:r w:rsidR="00683B41">
        <w:rPr>
          <w:rFonts w:ascii="Arial" w:hAnsi="Arial" w:cs="Arial"/>
          <w:i/>
          <w:sz w:val="22"/>
          <w:szCs w:val="22"/>
        </w:rPr>
        <w:t>Chloridsäure</w:t>
      </w:r>
      <w:proofErr w:type="spellEnd"/>
      <w:r>
        <w:rPr>
          <w:rFonts w:ascii="Arial" w:hAnsi="Arial" w:cs="Arial"/>
          <w:i/>
          <w:sz w:val="22"/>
          <w:szCs w:val="22"/>
        </w:rPr>
        <w:t xml:space="preserve"> </w:t>
      </w:r>
      <w:r>
        <w:rPr>
          <w:rFonts w:ascii="Arial" w:hAnsi="Arial" w:cs="Arial"/>
          <w:i/>
          <w:sz w:val="22"/>
          <w:szCs w:val="22"/>
        </w:rPr>
        <w:br/>
        <w:t xml:space="preserve">(=Schwefelsäure) </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(=Salzsäure)</w:t>
      </w:r>
    </w:p>
    <w:p w:rsidR="00801AED" w:rsidRDefault="00801AED" w:rsidP="00F63A50">
      <w:pPr>
        <w:pBdr>
          <w:top w:val="single" w:sz="4" w:space="1" w:color="auto"/>
          <w:left w:val="single" w:sz="4" w:space="4" w:color="auto"/>
          <w:bottom w:val="single" w:sz="4" w:space="1" w:color="auto"/>
          <w:right w:val="single" w:sz="4" w:space="4" w:color="auto"/>
        </w:pBdr>
        <w:ind w:left="2123" w:hanging="2123"/>
        <w:rPr>
          <w:rFonts w:ascii="Arial" w:hAnsi="Arial" w:cs="Arial"/>
          <w:i/>
          <w:sz w:val="22"/>
          <w:szCs w:val="22"/>
        </w:rPr>
      </w:pPr>
    </w:p>
    <w:p w:rsidR="00801AED" w:rsidRDefault="00801AED" w:rsidP="00F63A50">
      <w:pPr>
        <w:pBdr>
          <w:top w:val="single" w:sz="4" w:space="1" w:color="auto"/>
          <w:left w:val="single" w:sz="4" w:space="4" w:color="auto"/>
          <w:bottom w:val="single" w:sz="4" w:space="1" w:color="auto"/>
          <w:right w:val="single" w:sz="4" w:space="4" w:color="auto"/>
        </w:pBdr>
        <w:ind w:left="2123" w:hanging="2123"/>
        <w:rPr>
          <w:rFonts w:ascii="Arial" w:hAnsi="Arial" w:cs="Arial"/>
          <w:i/>
          <w:sz w:val="22"/>
          <w:szCs w:val="22"/>
        </w:rPr>
      </w:pPr>
    </w:p>
    <w:p w:rsidR="00801AED" w:rsidRDefault="00801AED" w:rsidP="00F63A50">
      <w:pPr>
        <w:pBdr>
          <w:top w:val="single" w:sz="4" w:space="1" w:color="auto"/>
          <w:left w:val="single" w:sz="4" w:space="4" w:color="auto"/>
          <w:bottom w:val="single" w:sz="4" w:space="1" w:color="auto"/>
          <w:right w:val="single" w:sz="4" w:space="4" w:color="auto"/>
        </w:pBdr>
        <w:ind w:left="2123" w:hanging="2123"/>
        <w:rPr>
          <w:rFonts w:ascii="Arial" w:hAnsi="Arial" w:cs="Arial"/>
          <w:i/>
          <w:sz w:val="22"/>
          <w:szCs w:val="22"/>
        </w:rPr>
      </w:pPr>
    </w:p>
    <w:p w:rsidR="00801AED" w:rsidRDefault="00801AED" w:rsidP="00F63A50">
      <w:pPr>
        <w:pBdr>
          <w:top w:val="single" w:sz="4" w:space="1" w:color="auto"/>
          <w:left w:val="single" w:sz="4" w:space="4" w:color="auto"/>
          <w:bottom w:val="single" w:sz="4" w:space="1" w:color="auto"/>
          <w:right w:val="single" w:sz="4" w:space="4" w:color="auto"/>
        </w:pBdr>
        <w:ind w:left="2123" w:hanging="2123"/>
        <w:rPr>
          <w:rFonts w:ascii="Arial" w:hAnsi="Arial" w:cs="Arial"/>
          <w:i/>
          <w:sz w:val="22"/>
          <w:szCs w:val="22"/>
        </w:rPr>
      </w:pPr>
    </w:p>
    <w:p w:rsidR="00801AED" w:rsidRDefault="00801AED" w:rsidP="00F63A50">
      <w:pPr>
        <w:pBdr>
          <w:top w:val="single" w:sz="4" w:space="1" w:color="auto"/>
          <w:left w:val="single" w:sz="4" w:space="4" w:color="auto"/>
          <w:bottom w:val="single" w:sz="4" w:space="1" w:color="auto"/>
          <w:right w:val="single" w:sz="4" w:space="4" w:color="auto"/>
        </w:pBdr>
        <w:ind w:left="2123" w:hanging="2123"/>
        <w:rPr>
          <w:rFonts w:ascii="Arial" w:hAnsi="Arial" w:cs="Arial"/>
          <w:i/>
          <w:sz w:val="22"/>
          <w:szCs w:val="22"/>
        </w:rPr>
      </w:pPr>
    </w:p>
    <w:p w:rsidR="00801AED" w:rsidRDefault="00801AED" w:rsidP="00F63A50">
      <w:pPr>
        <w:pBdr>
          <w:top w:val="single" w:sz="4" w:space="1" w:color="auto"/>
          <w:left w:val="single" w:sz="4" w:space="4" w:color="auto"/>
          <w:bottom w:val="single" w:sz="4" w:space="1" w:color="auto"/>
          <w:right w:val="single" w:sz="4" w:space="4" w:color="auto"/>
        </w:pBdr>
        <w:ind w:left="2123" w:hanging="2123"/>
        <w:rPr>
          <w:rFonts w:ascii="Arial" w:hAnsi="Arial" w:cs="Arial"/>
          <w:i/>
          <w:sz w:val="22"/>
          <w:szCs w:val="22"/>
        </w:rPr>
      </w:pPr>
    </w:p>
    <w:p w:rsidR="00801AED" w:rsidRDefault="00801AED" w:rsidP="00F63A50">
      <w:pPr>
        <w:pBdr>
          <w:top w:val="single" w:sz="4" w:space="1" w:color="auto"/>
          <w:left w:val="single" w:sz="4" w:space="4" w:color="auto"/>
          <w:bottom w:val="single" w:sz="4" w:space="1" w:color="auto"/>
          <w:right w:val="single" w:sz="4" w:space="4" w:color="auto"/>
        </w:pBdr>
        <w:ind w:left="2123" w:hanging="2123"/>
        <w:rPr>
          <w:rFonts w:ascii="Arial" w:hAnsi="Arial" w:cs="Arial"/>
          <w:i/>
          <w:sz w:val="22"/>
          <w:szCs w:val="22"/>
        </w:rPr>
      </w:pPr>
      <w:r>
        <w:rPr>
          <w:rFonts w:ascii="Arial" w:hAnsi="Arial" w:cs="Arial"/>
          <w:i/>
          <w:sz w:val="22"/>
          <w:szCs w:val="22"/>
        </w:rPr>
        <w:t>Kupfersulfat</w:t>
      </w:r>
      <w:r>
        <w:rPr>
          <w:rFonts w:ascii="Arial" w:hAnsi="Arial" w:cs="Arial"/>
          <w:i/>
          <w:sz w:val="22"/>
          <w:szCs w:val="22"/>
        </w:rPr>
        <w:tab/>
        <w:t>Wasser</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Natriumchlorid</w:t>
      </w:r>
      <w:r>
        <w:rPr>
          <w:rFonts w:ascii="Arial" w:hAnsi="Arial" w:cs="Arial"/>
          <w:i/>
          <w:sz w:val="22"/>
          <w:szCs w:val="22"/>
        </w:rPr>
        <w:tab/>
        <w:t>Wasser</w:t>
      </w:r>
    </w:p>
    <w:p w:rsidR="001F7D2C" w:rsidRDefault="001F7D2C" w:rsidP="00F63A50">
      <w:pPr>
        <w:pBdr>
          <w:top w:val="single" w:sz="4" w:space="1" w:color="auto"/>
          <w:left w:val="single" w:sz="4" w:space="4" w:color="auto"/>
          <w:bottom w:val="single" w:sz="4" w:space="1" w:color="auto"/>
          <w:right w:val="single" w:sz="4" w:space="4" w:color="auto"/>
        </w:pBdr>
        <w:ind w:left="2123" w:hanging="2123"/>
        <w:rPr>
          <w:rFonts w:ascii="Arial" w:hAnsi="Arial" w:cs="Arial"/>
          <w:i/>
          <w:sz w:val="22"/>
          <w:szCs w:val="22"/>
        </w:rPr>
      </w:pPr>
    </w:p>
    <w:p w:rsidR="001F7D2C" w:rsidRPr="003767A4" w:rsidRDefault="001F7D2C" w:rsidP="00F63A50">
      <w:pPr>
        <w:pBdr>
          <w:top w:val="single" w:sz="4" w:space="1" w:color="auto"/>
          <w:left w:val="single" w:sz="4" w:space="4" w:color="auto"/>
          <w:bottom w:val="single" w:sz="4" w:space="1" w:color="auto"/>
          <w:right w:val="single" w:sz="4" w:space="4" w:color="auto"/>
        </w:pBdr>
        <w:ind w:left="2123" w:hanging="2123"/>
        <w:rPr>
          <w:rFonts w:ascii="Arial" w:hAnsi="Arial" w:cs="Arial"/>
          <w:i/>
          <w:sz w:val="22"/>
          <w:szCs w:val="22"/>
        </w:rPr>
      </w:pPr>
      <w:bookmarkStart w:id="0" w:name="_GoBack"/>
      <w:bookmarkEnd w:id="0"/>
    </w:p>
    <w:sectPr w:rsidR="001F7D2C" w:rsidRPr="003767A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E76E0"/>
    <w:multiLevelType w:val="hybridMultilevel"/>
    <w:tmpl w:val="A1F0ED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2111FAA"/>
    <w:multiLevelType w:val="hybridMultilevel"/>
    <w:tmpl w:val="546AD1AC"/>
    <w:lvl w:ilvl="0" w:tplc="DA266E42">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51C"/>
    <w:rsid w:val="000D5F36"/>
    <w:rsid w:val="001F7D2C"/>
    <w:rsid w:val="003767A4"/>
    <w:rsid w:val="00523342"/>
    <w:rsid w:val="00683B41"/>
    <w:rsid w:val="00801AED"/>
    <w:rsid w:val="00A8151C"/>
    <w:rsid w:val="00A9239D"/>
    <w:rsid w:val="00B16EE1"/>
    <w:rsid w:val="00F63A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EFF1"/>
  <w15:chartTrackingRefBased/>
  <w15:docId w15:val="{B7D98AE4-43C4-4A7F-BC87-F1453F3E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23342"/>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233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2691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Meinrad Schneider</dc:creator>
  <cp:keywords/>
  <dc:description/>
  <cp:lastModifiedBy>Meinrad Schneider</cp:lastModifiedBy>
  <cp:revision>8</cp:revision>
  <dcterms:created xsi:type="dcterms:W3CDTF">2026-03-28T11:39:00Z</dcterms:created>
  <dcterms:modified xsi:type="dcterms:W3CDTF">2026-04-23T13:19:00Z</dcterms:modified>
</cp:coreProperties>
</file>